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508"/>
        <w:gridCol w:w="1736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仿宋_GB2312" w:eastAsia="仿宋_GB2312" w:cs="仿宋_GB2312"/>
                <w:b/>
                <w:color w:val="000000"/>
                <w:sz w:val="36"/>
                <w:szCs w:val="36"/>
                <w:lang w:bidi="ar"/>
              </w:rPr>
              <w:t>售后服务响应表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※ 注意：响应情况分为三种，“不响应”、“响应”和“优于”，请报名企业根据实际情况填写。若填写的是“不响应”和“优于”，必须详细填写“说明”。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服务条款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响应情况（不响应/响应/优于）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val="en-US" w:eastAsia="zh-CN" w:bidi="ar"/>
              </w:rPr>
              <w:t>一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耗材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送货及库存：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在本地（深圳市）设有仓库，且保证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必要时可储备3个月的量满足供应需求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1.2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保证按照医院指定地点和时间准时送货上门（不分节假日），公司承担全部运费且到达前的损失由公司承担。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1.3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紧急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供应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（如急诊手术等）保证产品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小时内送达。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default" w:eastAsia="宋体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1.4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default" w:eastAsia="宋体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  <w:t>有专职人员配送不通过快递方式送货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eastAsia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eastAsia" w:cs="宋体"/>
                <w:b w:val="0"/>
                <w:bCs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退换货：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医院接受货物后若有疑义或使用前发现不宜使用的现象，公司随时提供免费退换货服务。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976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2.2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近效期退换：对于接近有效期的产品（近效期3个月或以上的），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确定是否可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更换新批号且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有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效期在半年以上的产品。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不良反应：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在临床使用中若出现不良医疗反应现象，经国家相关质量监察部门鉴定后，确实属于产品质量问题的，公司承担全部责任。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质量保证：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4.1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厂家质量承诺书。具有合法的医用耗材及配送资格的企业，严格按照采购方的要求，及时供货并提供全面完善的服务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4.2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产品质量符合国家和国际承认的相应标准。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4.3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产品的包装及相关资料证件严格符合医院要求。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4.4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保证产品的严格消毒灭菌。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8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sz w:val="20"/>
                <w:szCs w:val="20"/>
                <w:lang w:bidi="ar"/>
              </w:rPr>
              <w:t>保证：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default" w:eastAsia="宋体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★</w:t>
            </w: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5.1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eastAsia" w:eastAsia="宋体" w:cs="宋体"/>
                <w:b w:val="0"/>
                <w:bCs w:val="0"/>
                <w:color w:val="FF0000"/>
                <w:sz w:val="20"/>
                <w:szCs w:val="20"/>
                <w:lang w:eastAsia="zh-CN" w:bidi="ar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bidi="ar"/>
              </w:rPr>
              <w:t>可收费的医用耗材必须提供国家医保编码，如供货后无法提供国家医保编码将不予结算</w:t>
            </w: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default" w:eastAsia="宋体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★</w:t>
            </w: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5.2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eastAsia" w:eastAsia="宋体" w:cs="宋体"/>
                <w:b w:val="0"/>
                <w:bCs w:val="0"/>
                <w:color w:val="FF0000"/>
                <w:sz w:val="20"/>
                <w:szCs w:val="20"/>
                <w:lang w:eastAsia="zh-CN" w:bidi="ar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bidi="ar"/>
              </w:rPr>
              <w:t>作为医疗器械管理的产品价格不得高于深圳市阳光交易平台的限价；中标后如价格高于平台限价，直接按平台限价签订合同</w:t>
            </w: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★</w:t>
            </w:r>
            <w:r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5.3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/>
              <w:textAlignment w:val="center"/>
              <w:rPr>
                <w:rFonts w:hint="eastAsia" w:cs="宋体"/>
                <w:b w:val="0"/>
                <w:bCs w:val="0"/>
                <w:color w:val="FF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 w:bidi="ar"/>
              </w:rPr>
              <w:t>合同有效期内，中标价处于深圳市阳光平台红区，供应商无条件降价，否则院方可单方面终止合同，不承担任何违约责任。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2VlZDhjMWViZjRjOTc3YjIzYTVlMmMzNDQ0ZjUifQ=="/>
    <w:docVar w:name="KSO_WPS_MARK_KEY" w:val="9a4367b5-97d1-42e4-9086-e90e89ae77fc"/>
  </w:docVars>
  <w:rsids>
    <w:rsidRoot w:val="16225886"/>
    <w:rsid w:val="00550F04"/>
    <w:rsid w:val="0082505F"/>
    <w:rsid w:val="00AC7276"/>
    <w:rsid w:val="00B614CA"/>
    <w:rsid w:val="16225886"/>
    <w:rsid w:val="396938B1"/>
    <w:rsid w:val="48AD3BDD"/>
    <w:rsid w:val="69EE07AF"/>
    <w:rsid w:val="6DE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1133</Words>
  <Characters>1157</Characters>
  <Lines>10</Lines>
  <Paragraphs>2</Paragraphs>
  <TotalTime>1</TotalTime>
  <ScaleCrop>false</ScaleCrop>
  <LinksUpToDate>false</LinksUpToDate>
  <CharactersWithSpaces>1413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2023-08-04T03:48:00Z</dcterms:created>
  <dc:creator>minemine1418014996</dc:creator>
  <cp:lastModifiedBy>杜兴美</cp:lastModifiedBy>
  <dcterms:modified xsi:type="dcterms:W3CDTF">2025-06-24T09:44:25Z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8D6F965EEBAF469D80FAB2B123D17FFB_13</vt:lpwstr>
  </property>
</Properties>
</file>